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DF7" w:rsidRPr="00036C39" w:rsidRDefault="00C54DF7" w:rsidP="00C54DF7">
      <w:pPr>
        <w:pStyle w:val="Ejie-titulo2"/>
        <w:numPr>
          <w:ilvl w:val="0"/>
          <w:numId w:val="0"/>
        </w:numPr>
        <w:tabs>
          <w:tab w:val="clear" w:pos="1440"/>
        </w:tabs>
        <w:jc w:val="both"/>
        <w:rPr>
          <w:bCs/>
          <w:iCs w:val="0"/>
        </w:rPr>
      </w:pPr>
      <w:bookmarkStart w:id="0" w:name="_Toc256676604"/>
      <w:r>
        <w:rPr>
          <w:bCs/>
          <w:iCs w:val="0"/>
        </w:rPr>
        <w:t>Despiece de Contenido</w:t>
      </w:r>
    </w:p>
    <w:p w:rsidR="00C54DF7" w:rsidRDefault="00C54DF7" w:rsidP="00C54DF7">
      <w:pPr>
        <w:pStyle w:val="Normal11pt"/>
        <w:spacing w:before="120" w:after="120"/>
        <w:rPr>
          <w:sz w:val="20"/>
        </w:rPr>
      </w:pPr>
    </w:p>
    <w:p w:rsidR="00C54DF7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 xml:space="preserve">Carpeta </w:t>
      </w:r>
      <w:r w:rsidR="00032ABD">
        <w:rPr>
          <w:sz w:val="20"/>
        </w:rPr>
        <w:t>“</w:t>
      </w:r>
      <w:r w:rsidR="00032ABD" w:rsidRPr="00032ABD">
        <w:rPr>
          <w:sz w:val="20"/>
        </w:rPr>
        <w:t>Amianto UDA</w:t>
      </w:r>
      <w:r w:rsidR="00032ABD">
        <w:rPr>
          <w:sz w:val="20"/>
        </w:rPr>
        <w:t>”</w:t>
      </w:r>
      <w:r>
        <w:rPr>
          <w:sz w:val="20"/>
        </w:rPr>
        <w:t xml:space="preserve">: información detallada </w:t>
      </w:r>
      <w:r w:rsidR="00032ABD">
        <w:rPr>
          <w:sz w:val="20"/>
        </w:rPr>
        <w:t>de las utilidades UDA</w:t>
      </w:r>
      <w:r>
        <w:rPr>
          <w:sz w:val="20"/>
        </w:rPr>
        <w:t>. Instalación y sus requisitos.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Estáticos Frontal Web: contenido de estáticos servidos por el servidor web.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Servidor de Aplicaciones: contenido de la capa de aplicación.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Configuración: contenido de la configuración de aplicación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Base de datos: contenido de la base de datos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Documentación: documentación del sistema, manuales de usuario, análisis, diseño e implantación</w:t>
      </w:r>
    </w:p>
    <w:p w:rsidR="00C54DF7" w:rsidRPr="00C54DF7" w:rsidRDefault="00C54DF7" w:rsidP="00C54DF7">
      <w:pPr>
        <w:pStyle w:val="Normal11pt"/>
        <w:spacing w:before="120" w:after="120"/>
        <w:rPr>
          <w:sz w:val="20"/>
        </w:rPr>
      </w:pPr>
    </w:p>
    <w:p w:rsidR="00BE5E02" w:rsidRPr="00036C39" w:rsidRDefault="00BE5E02" w:rsidP="00BE5E02">
      <w:pPr>
        <w:pStyle w:val="Ejie-titulo2"/>
        <w:numPr>
          <w:ilvl w:val="0"/>
          <w:numId w:val="0"/>
        </w:numPr>
        <w:tabs>
          <w:tab w:val="clear" w:pos="1440"/>
        </w:tabs>
        <w:jc w:val="both"/>
        <w:rPr>
          <w:bCs/>
          <w:iCs w:val="0"/>
        </w:rPr>
      </w:pPr>
      <w:r w:rsidRPr="00036C39">
        <w:rPr>
          <w:bCs/>
          <w:iCs w:val="0"/>
        </w:rPr>
        <w:t>Entorno Tecnológico</w:t>
      </w:r>
      <w:bookmarkEnd w:id="0"/>
    </w:p>
    <w:p w:rsidR="00BE5E02" w:rsidRDefault="00BE5E02" w:rsidP="00BE5E02">
      <w:pPr>
        <w:pStyle w:val="Normal11pt"/>
        <w:spacing w:before="120" w:after="120"/>
        <w:rPr>
          <w:sz w:val="20"/>
        </w:rPr>
      </w:pPr>
      <w:r w:rsidRPr="00036C39">
        <w:rPr>
          <w:sz w:val="20"/>
        </w:rPr>
        <w:t>Las plataformas tecnológicas y productos comunes de base: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Servidor web:</w:t>
      </w:r>
      <w:r>
        <w:rPr>
          <w:b/>
          <w:sz w:val="20"/>
        </w:rPr>
        <w:t xml:space="preserve"> </w:t>
      </w:r>
      <w:r w:rsidRPr="00036C39">
        <w:rPr>
          <w:sz w:val="20"/>
        </w:rPr>
        <w:t>Apache Web Server 2 sobre Linux Red Hat Enterprise.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Servidor de aplicaciones:</w:t>
      </w:r>
      <w:r>
        <w:rPr>
          <w:b/>
          <w:sz w:val="20"/>
        </w:rPr>
        <w:t xml:space="preserve"> </w:t>
      </w:r>
      <w:r w:rsidR="00DF6A76">
        <w:rPr>
          <w:sz w:val="20"/>
        </w:rPr>
        <w:t>Oracle Weblogic Server 11</w:t>
      </w:r>
    </w:p>
    <w:p w:rsidR="00BE5E02" w:rsidRPr="009B367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Herramientas para desarrollo:</w:t>
      </w:r>
    </w:p>
    <w:p w:rsidR="00DF6A76" w:rsidRPr="00DF6A76" w:rsidRDefault="00DF6A76" w:rsidP="00BE5E02">
      <w:pPr>
        <w:pStyle w:val="Normal11pt"/>
        <w:numPr>
          <w:ilvl w:val="1"/>
          <w:numId w:val="2"/>
        </w:numPr>
        <w:spacing w:before="120" w:after="120"/>
        <w:rPr>
          <w:sz w:val="20"/>
        </w:rPr>
      </w:pPr>
      <w:r>
        <w:rPr>
          <w:rFonts w:ascii="Segoe UI" w:hAnsi="Segoe UI" w:cs="Segoe UI"/>
          <w:color w:val="24292E"/>
          <w:shd w:val="clear" w:color="auto" w:fill="FFFFFF"/>
        </w:rPr>
        <w:t>Spring Framework</w:t>
      </w:r>
      <w:r>
        <w:rPr>
          <w:rFonts w:ascii="Segoe UI" w:hAnsi="Segoe UI" w:cs="Segoe UI"/>
          <w:color w:val="24292E"/>
          <w:shd w:val="clear" w:color="auto" w:fill="FFFFFF"/>
        </w:rPr>
        <w:t xml:space="preserve"> UDA</w:t>
      </w:r>
    </w:p>
    <w:p w:rsidR="00BE5E02" w:rsidRPr="009B3679" w:rsidRDefault="00BE5E02" w:rsidP="00BE5E02">
      <w:pPr>
        <w:pStyle w:val="Normal11pt"/>
        <w:numPr>
          <w:ilvl w:val="1"/>
          <w:numId w:val="2"/>
        </w:numPr>
        <w:spacing w:before="120" w:after="120"/>
        <w:rPr>
          <w:sz w:val="20"/>
        </w:rPr>
      </w:pPr>
      <w:r w:rsidRPr="009B3679">
        <w:rPr>
          <w:sz w:val="20"/>
          <w:lang w:val="en-GB"/>
        </w:rPr>
        <w:t xml:space="preserve">IDE (PC compatible con Windows </w:t>
      </w:r>
      <w:r w:rsidR="005C0702">
        <w:rPr>
          <w:sz w:val="20"/>
          <w:lang w:val="en-GB"/>
        </w:rPr>
        <w:t>7</w:t>
      </w:r>
      <w:r w:rsidRPr="009B3679">
        <w:rPr>
          <w:sz w:val="20"/>
          <w:lang w:val="en-GB"/>
        </w:rPr>
        <w:t xml:space="preserve">): </w:t>
      </w:r>
      <w:r w:rsidR="00DF6A76">
        <w:rPr>
          <w:sz w:val="20"/>
        </w:rPr>
        <w:t xml:space="preserve">Hellios, con plugin </w:t>
      </w:r>
      <w:r w:rsidRPr="009B3679">
        <w:rPr>
          <w:sz w:val="20"/>
        </w:rPr>
        <w:t xml:space="preserve">Eclipse </w:t>
      </w:r>
      <w:r w:rsidR="00DF6A76">
        <w:rPr>
          <w:sz w:val="20"/>
        </w:rPr>
        <w:t>Helios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Base de datos:</w:t>
      </w:r>
      <w:r>
        <w:rPr>
          <w:b/>
          <w:sz w:val="20"/>
        </w:rPr>
        <w:t xml:space="preserve"> </w:t>
      </w:r>
      <w:r w:rsidR="00DF6A76">
        <w:rPr>
          <w:sz w:val="20"/>
        </w:rPr>
        <w:t>Oracle 12</w:t>
      </w:r>
      <w:r w:rsidRPr="00036C39">
        <w:rPr>
          <w:sz w:val="20"/>
        </w:rPr>
        <w:t>g sobre HP-UX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Seguridad:</w:t>
      </w:r>
      <w:r>
        <w:rPr>
          <w:b/>
          <w:sz w:val="20"/>
        </w:rPr>
        <w:t xml:space="preserve"> </w:t>
      </w:r>
      <w:r w:rsidRPr="00036C39">
        <w:rPr>
          <w:sz w:val="20"/>
        </w:rPr>
        <w:t>XLNets y PKI Izenpe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Infraestructura para la gestión documental (dokusi):</w:t>
      </w:r>
      <w:r>
        <w:rPr>
          <w:b/>
          <w:sz w:val="20"/>
        </w:rPr>
        <w:t xml:space="preserve"> </w:t>
      </w:r>
      <w:r w:rsidRPr="00036C39">
        <w:rPr>
          <w:sz w:val="20"/>
        </w:rPr>
        <w:t>Documentum</w:t>
      </w:r>
    </w:p>
    <w:p w:rsidR="00BE5E02" w:rsidRDefault="00BE5E02" w:rsidP="00BE5E02">
      <w:pPr>
        <w:pStyle w:val="Normal11pt"/>
        <w:spacing w:before="120" w:after="120"/>
        <w:rPr>
          <w:sz w:val="20"/>
        </w:rPr>
      </w:pPr>
    </w:p>
    <w:p w:rsidR="00BE5E02" w:rsidRPr="00036C39" w:rsidRDefault="00BE5E02" w:rsidP="00BE5E02">
      <w:pPr>
        <w:pStyle w:val="Normal11pt"/>
        <w:spacing w:before="120" w:after="120"/>
        <w:rPr>
          <w:sz w:val="20"/>
        </w:rPr>
      </w:pPr>
      <w:r w:rsidRPr="00036C39">
        <w:rPr>
          <w:sz w:val="20"/>
        </w:rPr>
        <w:t xml:space="preserve">Existen un conjunto de </w:t>
      </w:r>
      <w:r w:rsidRPr="00092A21">
        <w:rPr>
          <w:b/>
          <w:sz w:val="20"/>
        </w:rPr>
        <w:t>sistemas horizontales de uso corporativo</w:t>
      </w:r>
      <w:r w:rsidRPr="00036C39">
        <w:rPr>
          <w:sz w:val="20"/>
        </w:rPr>
        <w:t xml:space="preserve"> que dan solución tecnológica a</w:t>
      </w:r>
      <w:r>
        <w:rPr>
          <w:sz w:val="20"/>
        </w:rPr>
        <w:t xml:space="preserve"> </w:t>
      </w:r>
      <w:r w:rsidRPr="00036C39">
        <w:rPr>
          <w:sz w:val="20"/>
        </w:rPr>
        <w:t xml:space="preserve">distintos ámbitos funcionales de uso común, que se citan a continuación, y que el </w:t>
      </w:r>
      <w:r>
        <w:rPr>
          <w:sz w:val="20"/>
        </w:rPr>
        <w:t>sistema</w:t>
      </w:r>
      <w:r w:rsidRPr="00036C39">
        <w:rPr>
          <w:sz w:val="20"/>
        </w:rPr>
        <w:t xml:space="preserve"> </w:t>
      </w:r>
      <w:r>
        <w:rPr>
          <w:sz w:val="20"/>
        </w:rPr>
        <w:t xml:space="preserve">hace uso a través de </w:t>
      </w:r>
      <w:r w:rsidRPr="00BE5E02">
        <w:rPr>
          <w:b/>
          <w:sz w:val="20"/>
        </w:rPr>
        <w:t>picking de servicios</w:t>
      </w:r>
      <w:r w:rsidRPr="00036C39">
        <w:rPr>
          <w:sz w:val="20"/>
        </w:rPr>
        <w:t>.</w:t>
      </w:r>
      <w:r>
        <w:rPr>
          <w:sz w:val="20"/>
        </w:rPr>
        <w:t xml:space="preserve"> La relación de servicios horizontales es la siguiente:</w:t>
      </w:r>
    </w:p>
    <w:p w:rsidR="00BE5E02" w:rsidRDefault="00BE5E02" w:rsidP="00C54DF7">
      <w:pPr>
        <w:pStyle w:val="Normal11pt"/>
        <w:spacing w:before="120" w:after="120"/>
        <w:ind w:left="426"/>
        <w:rPr>
          <w:sz w:val="20"/>
        </w:rPr>
      </w:pPr>
      <w:r w:rsidRPr="00036C39">
        <w:rPr>
          <w:sz w:val="20"/>
        </w:rPr>
        <w:t xml:space="preserve">Para las áreas funcionales de tramitación de expedientes del sistema </w:t>
      </w:r>
      <w:r>
        <w:rPr>
          <w:sz w:val="20"/>
        </w:rPr>
        <w:t xml:space="preserve">se </w:t>
      </w:r>
      <w:r w:rsidRPr="00036C39">
        <w:rPr>
          <w:sz w:val="20"/>
        </w:rPr>
        <w:t>informa al sistema de visión de</w:t>
      </w:r>
      <w:r>
        <w:rPr>
          <w:sz w:val="20"/>
        </w:rPr>
        <w:t xml:space="preserve"> ciudadano (Mis Gestiones):</w:t>
      </w:r>
    </w:p>
    <w:p w:rsidR="00BE5E02" w:rsidRPr="00B1267A" w:rsidRDefault="00BE5E02" w:rsidP="00BE5E02">
      <w:pPr>
        <w:pStyle w:val="Normal11pt"/>
        <w:numPr>
          <w:ilvl w:val="0"/>
          <w:numId w:val="2"/>
        </w:numPr>
        <w:spacing w:before="120" w:after="120"/>
        <w:rPr>
          <w:b/>
          <w:sz w:val="20"/>
        </w:rPr>
      </w:pPr>
      <w:r w:rsidRPr="00B1267A">
        <w:rPr>
          <w:b/>
          <w:sz w:val="20"/>
        </w:rPr>
        <w:t xml:space="preserve">Sistemas de infraestructura de tramitación, PLATEA-Tramitación. </w:t>
      </w:r>
    </w:p>
    <w:p w:rsidR="00BE5E02" w:rsidRDefault="00BE5E02" w:rsidP="00BE5E02">
      <w:pPr>
        <w:pStyle w:val="Normal11pt"/>
        <w:spacing w:before="120" w:after="120"/>
        <w:ind w:left="708"/>
        <w:rPr>
          <w:sz w:val="20"/>
        </w:rPr>
      </w:pPr>
      <w:r w:rsidRPr="00036C39">
        <w:rPr>
          <w:sz w:val="20"/>
        </w:rPr>
        <w:t>Permiten ofrecer al</w:t>
      </w:r>
      <w:r>
        <w:rPr>
          <w:sz w:val="20"/>
        </w:rPr>
        <w:t xml:space="preserve"> </w:t>
      </w:r>
      <w:r w:rsidRPr="00036C39">
        <w:rPr>
          <w:sz w:val="20"/>
        </w:rPr>
        <w:t>administrado una visión homogénea de los procesos de tramitación gestionados por cualquier</w:t>
      </w:r>
      <w:r>
        <w:rPr>
          <w:sz w:val="20"/>
        </w:rPr>
        <w:t xml:space="preserve"> </w:t>
      </w:r>
      <w:r w:rsidRPr="00036C39">
        <w:rPr>
          <w:sz w:val="20"/>
        </w:rPr>
        <w:t>departamento de Gobierno Vasco, facilitar al empleado público las herramientas básicas y únicas de</w:t>
      </w:r>
      <w:r>
        <w:rPr>
          <w:sz w:val="20"/>
        </w:rPr>
        <w:t xml:space="preserve"> </w:t>
      </w:r>
      <w:r w:rsidRPr="00036C39">
        <w:rPr>
          <w:sz w:val="20"/>
        </w:rPr>
        <w:t>gestión de tareas de tramitación, definir y establecer los flujos de tramitación adscritos al modelo</w:t>
      </w:r>
      <w:r>
        <w:rPr>
          <w:sz w:val="20"/>
        </w:rPr>
        <w:t xml:space="preserve"> </w:t>
      </w:r>
      <w:r w:rsidRPr="00036C39">
        <w:rPr>
          <w:sz w:val="20"/>
        </w:rPr>
        <w:t xml:space="preserve">básico de tramitación, </w:t>
      </w:r>
      <w:r w:rsidR="00DF6A76" w:rsidRPr="00036C39">
        <w:rPr>
          <w:sz w:val="20"/>
        </w:rPr>
        <w:t xml:space="preserve">y </w:t>
      </w:r>
      <w:r w:rsidR="00DF6A76">
        <w:rPr>
          <w:sz w:val="20"/>
        </w:rPr>
        <w:t>aportar</w:t>
      </w:r>
      <w:r w:rsidRPr="00036C39">
        <w:rPr>
          <w:sz w:val="20"/>
        </w:rPr>
        <w:t xml:space="preserve"> las soluciones técnicas necesarias que garantizan el cumplimiento</w:t>
      </w:r>
      <w:r>
        <w:rPr>
          <w:sz w:val="20"/>
        </w:rPr>
        <w:t xml:space="preserve"> </w:t>
      </w:r>
      <w:r w:rsidRPr="00036C39">
        <w:rPr>
          <w:sz w:val="20"/>
        </w:rPr>
        <w:t>de las normativas y procedimientos legales vigentes en materia de tramitación.</w:t>
      </w:r>
    </w:p>
    <w:p w:rsidR="00BE5E02" w:rsidRDefault="00BE5E02" w:rsidP="00BE5E02">
      <w:pPr>
        <w:pStyle w:val="Normal11pt"/>
        <w:spacing w:before="120" w:after="120"/>
        <w:rPr>
          <w:sz w:val="20"/>
        </w:rPr>
      </w:pPr>
    </w:p>
    <w:p w:rsidR="00BE5E02" w:rsidRDefault="00BE5E02" w:rsidP="00C54DF7">
      <w:pPr>
        <w:pStyle w:val="Normal11pt"/>
        <w:spacing w:before="120" w:after="120"/>
        <w:ind w:left="426"/>
        <w:rPr>
          <w:sz w:val="20"/>
        </w:rPr>
      </w:pPr>
      <w:r w:rsidRPr="00036C39">
        <w:rPr>
          <w:sz w:val="20"/>
        </w:rPr>
        <w:t xml:space="preserve">El sistema </w:t>
      </w:r>
      <w:r>
        <w:rPr>
          <w:sz w:val="20"/>
        </w:rPr>
        <w:t>utiliza</w:t>
      </w:r>
      <w:r w:rsidRPr="00036C39">
        <w:rPr>
          <w:sz w:val="20"/>
        </w:rPr>
        <w:t xml:space="preserve"> el sistema de seguridad homologado en el entorno de Gobierno Vasco:</w:t>
      </w:r>
    </w:p>
    <w:p w:rsidR="00BE5E02" w:rsidRPr="00B1267A" w:rsidRDefault="00BE5E02" w:rsidP="00BE5E02">
      <w:pPr>
        <w:pStyle w:val="Normal11pt"/>
        <w:numPr>
          <w:ilvl w:val="0"/>
          <w:numId w:val="2"/>
        </w:numPr>
        <w:spacing w:before="120" w:after="120"/>
        <w:rPr>
          <w:b/>
          <w:sz w:val="20"/>
        </w:rPr>
      </w:pPr>
      <w:r w:rsidRPr="00B1267A">
        <w:rPr>
          <w:b/>
          <w:sz w:val="20"/>
        </w:rPr>
        <w:t xml:space="preserve">XLNetS. </w:t>
      </w:r>
    </w:p>
    <w:p w:rsidR="00BE5E02" w:rsidRDefault="00BE5E02" w:rsidP="00BE5E02">
      <w:pPr>
        <w:pStyle w:val="Normal11pt"/>
        <w:spacing w:before="120" w:after="120"/>
        <w:ind w:left="708"/>
        <w:rPr>
          <w:sz w:val="20"/>
        </w:rPr>
      </w:pPr>
      <w:r w:rsidRPr="00036C39">
        <w:rPr>
          <w:sz w:val="20"/>
        </w:rPr>
        <w:t>Gestiona los procesos de autenticación y autorización de accesos a usuarios (y sistemas)</w:t>
      </w:r>
      <w:r>
        <w:rPr>
          <w:sz w:val="20"/>
        </w:rPr>
        <w:t xml:space="preserve"> </w:t>
      </w:r>
      <w:r w:rsidRPr="00036C39">
        <w:rPr>
          <w:sz w:val="20"/>
        </w:rPr>
        <w:t>para aplicativos y recursos, desarrollados bajo distintas tecnologías.</w:t>
      </w:r>
    </w:p>
    <w:p w:rsidR="00BE5E02" w:rsidRPr="00036C39" w:rsidRDefault="00BE5E02" w:rsidP="00BE5E02">
      <w:pPr>
        <w:pStyle w:val="Normal11pt"/>
        <w:spacing w:before="120" w:after="120"/>
        <w:rPr>
          <w:sz w:val="20"/>
        </w:rPr>
      </w:pPr>
    </w:p>
    <w:p w:rsidR="00BE5E02" w:rsidRDefault="00BE5E02" w:rsidP="00C54DF7">
      <w:pPr>
        <w:pStyle w:val="Normal11pt"/>
        <w:spacing w:before="120" w:after="120"/>
        <w:ind w:left="426"/>
        <w:rPr>
          <w:sz w:val="20"/>
        </w:rPr>
      </w:pPr>
      <w:r w:rsidRPr="00036C39">
        <w:rPr>
          <w:sz w:val="20"/>
        </w:rPr>
        <w:t xml:space="preserve">Para las necesidades de gestión documental, </w:t>
      </w:r>
      <w:r>
        <w:rPr>
          <w:sz w:val="20"/>
        </w:rPr>
        <w:t>se hace uso</w:t>
      </w:r>
      <w:r w:rsidRPr="00036C39">
        <w:rPr>
          <w:sz w:val="20"/>
        </w:rPr>
        <w:t xml:space="preserve"> </w:t>
      </w:r>
      <w:r>
        <w:rPr>
          <w:sz w:val="20"/>
        </w:rPr>
        <w:t>d</w:t>
      </w:r>
      <w:r w:rsidRPr="00036C39">
        <w:rPr>
          <w:sz w:val="20"/>
        </w:rPr>
        <w:t>el sistema corporativo existente:</w:t>
      </w:r>
    </w:p>
    <w:p w:rsidR="00BE5E02" w:rsidRPr="00B1267A" w:rsidRDefault="00BE5E02" w:rsidP="00BE5E02">
      <w:pPr>
        <w:pStyle w:val="Normal11pt"/>
        <w:numPr>
          <w:ilvl w:val="0"/>
          <w:numId w:val="2"/>
        </w:numPr>
        <w:spacing w:before="120" w:after="120"/>
        <w:rPr>
          <w:b/>
          <w:sz w:val="20"/>
        </w:rPr>
      </w:pPr>
      <w:r w:rsidRPr="00B1267A">
        <w:rPr>
          <w:b/>
          <w:sz w:val="20"/>
        </w:rPr>
        <w:t>Dokusi.</w:t>
      </w:r>
    </w:p>
    <w:p w:rsidR="00BE5E02" w:rsidRDefault="00BE5E02" w:rsidP="00BE5E02">
      <w:pPr>
        <w:pStyle w:val="Normal11pt"/>
        <w:spacing w:before="120" w:after="120"/>
        <w:ind w:left="708"/>
        <w:rPr>
          <w:sz w:val="20"/>
        </w:rPr>
      </w:pPr>
      <w:r w:rsidRPr="00036C39">
        <w:rPr>
          <w:sz w:val="20"/>
        </w:rPr>
        <w:lastRenderedPageBreak/>
        <w:t>Sistema Integral de Gestión Documental cuyo principal objetivo es la implantación de todas</w:t>
      </w:r>
      <w:r>
        <w:rPr>
          <w:sz w:val="20"/>
        </w:rPr>
        <w:t xml:space="preserve"> </w:t>
      </w:r>
      <w:r w:rsidRPr="00036C39">
        <w:rPr>
          <w:sz w:val="20"/>
        </w:rPr>
        <w:t>las funciones de gestión documental necesarias en los procesos de producción administrativa.</w:t>
      </w:r>
      <w:r>
        <w:rPr>
          <w:sz w:val="20"/>
        </w:rPr>
        <w:t xml:space="preserve"> </w:t>
      </w:r>
      <w:r w:rsidRPr="00036C39">
        <w:rPr>
          <w:sz w:val="20"/>
        </w:rPr>
        <w:t>Expone su uso a las aplicaciones departamentales mediante su capa de servicios - framework de</w:t>
      </w:r>
      <w:r>
        <w:rPr>
          <w:sz w:val="20"/>
        </w:rPr>
        <w:t xml:space="preserve"> </w:t>
      </w:r>
      <w:r w:rsidRPr="00036C39">
        <w:rPr>
          <w:sz w:val="20"/>
        </w:rPr>
        <w:t>servicios documentales – FSD, proporcionando además otras utilidades para la carga masiva de</w:t>
      </w:r>
      <w:r>
        <w:rPr>
          <w:sz w:val="20"/>
        </w:rPr>
        <w:t xml:space="preserve"> </w:t>
      </w:r>
      <w:r w:rsidRPr="00036C39">
        <w:rPr>
          <w:sz w:val="20"/>
        </w:rPr>
        <w:t>documentación, e interfaces gráficas.</w:t>
      </w:r>
    </w:p>
    <w:p w:rsidR="00BE5E02" w:rsidRDefault="00BE5E02" w:rsidP="00BE5E02">
      <w:pPr>
        <w:pStyle w:val="Normal11pt"/>
        <w:spacing w:before="120" w:after="120"/>
        <w:rPr>
          <w:sz w:val="20"/>
        </w:rPr>
      </w:pPr>
    </w:p>
    <w:p w:rsidR="00BE5E02" w:rsidRDefault="00BE5E02" w:rsidP="00BE5E02">
      <w:pPr>
        <w:pStyle w:val="Normal11pt"/>
        <w:spacing w:before="120" w:after="120"/>
        <w:rPr>
          <w:sz w:val="20"/>
        </w:rPr>
      </w:pPr>
      <w:r>
        <w:rPr>
          <w:sz w:val="20"/>
        </w:rPr>
        <w:t>El desarrollo está</w:t>
      </w:r>
      <w:r w:rsidRPr="00036C39">
        <w:rPr>
          <w:sz w:val="20"/>
        </w:rPr>
        <w:t xml:space="preserve"> </w:t>
      </w:r>
      <w:r w:rsidR="00DF6A76">
        <w:rPr>
          <w:sz w:val="20"/>
        </w:rPr>
        <w:t>basado en entorno tecnológico J</w:t>
      </w:r>
      <w:r w:rsidRPr="00036C39">
        <w:rPr>
          <w:sz w:val="20"/>
        </w:rPr>
        <w:t xml:space="preserve">EE, </w:t>
      </w:r>
      <w:r>
        <w:rPr>
          <w:sz w:val="20"/>
        </w:rPr>
        <w:t>utilizando</w:t>
      </w:r>
      <w:r w:rsidRPr="00036C39">
        <w:rPr>
          <w:sz w:val="20"/>
        </w:rPr>
        <w:t xml:space="preserve"> </w:t>
      </w:r>
      <w:r w:rsidR="00DF6A76">
        <w:rPr>
          <w:sz w:val="20"/>
        </w:rPr>
        <w:t>las utilidades UDA</w:t>
      </w:r>
      <w:r w:rsidR="002E45B3">
        <w:rPr>
          <w:sz w:val="20"/>
        </w:rPr>
        <w:t xml:space="preserve"> homologadas</w:t>
      </w:r>
      <w:r w:rsidRPr="00036C39">
        <w:rPr>
          <w:sz w:val="20"/>
        </w:rPr>
        <w:t xml:space="preserve"> en el entorno de Gobierno Vasco:</w:t>
      </w:r>
    </w:p>
    <w:p w:rsidR="00BE5E02" w:rsidRPr="00B1267A" w:rsidRDefault="002E45B3" w:rsidP="00BE5E02">
      <w:pPr>
        <w:pStyle w:val="Normal11pt"/>
        <w:numPr>
          <w:ilvl w:val="0"/>
          <w:numId w:val="2"/>
        </w:numPr>
        <w:spacing w:before="120" w:after="120"/>
        <w:rPr>
          <w:b/>
          <w:sz w:val="20"/>
        </w:rPr>
      </w:pPr>
      <w:r>
        <w:rPr>
          <w:b/>
          <w:sz w:val="20"/>
        </w:rPr>
        <w:t>UDA</w:t>
      </w:r>
      <w:r w:rsidR="00BE5E02" w:rsidRPr="00B1267A">
        <w:rPr>
          <w:b/>
          <w:sz w:val="20"/>
        </w:rPr>
        <w:t>.</w:t>
      </w:r>
    </w:p>
    <w:p w:rsidR="00BE5E02" w:rsidRDefault="002E45B3" w:rsidP="00BE5E02">
      <w:pPr>
        <w:pStyle w:val="Normal11pt"/>
        <w:spacing w:before="120" w:after="120"/>
        <w:ind w:left="708"/>
        <w:rPr>
          <w:sz w:val="20"/>
        </w:rPr>
      </w:pPr>
      <w:r>
        <w:rPr>
          <w:sz w:val="20"/>
        </w:rPr>
        <w:t>c</w:t>
      </w:r>
      <w:r w:rsidRPr="002E45B3">
        <w:rPr>
          <w:sz w:val="20"/>
        </w:rPr>
        <w:t>onjunto de utilidades, herramientas, librerías, plugins, guías, y recomendaciones funcionales y técnicas que permiten acelerar el proceso de desarrollo de sistemas software con tecnología Java.</w:t>
      </w:r>
      <w:r w:rsidR="00BE5E02" w:rsidRPr="00036C39">
        <w:rPr>
          <w:sz w:val="20"/>
        </w:rPr>
        <w:t>.</w:t>
      </w:r>
    </w:p>
    <w:p w:rsidR="00001772" w:rsidRDefault="00001772"/>
    <w:p w:rsidR="007275A6" w:rsidRPr="00180AB9" w:rsidRDefault="003C5863" w:rsidP="00180AB9">
      <w:pPr>
        <w:pStyle w:val="Ejie-titulo2"/>
        <w:numPr>
          <w:ilvl w:val="0"/>
          <w:numId w:val="0"/>
        </w:numPr>
        <w:tabs>
          <w:tab w:val="clear" w:pos="1440"/>
        </w:tabs>
        <w:jc w:val="both"/>
        <w:rPr>
          <w:bCs/>
          <w:iCs w:val="0"/>
        </w:rPr>
      </w:pPr>
      <w:bookmarkStart w:id="1" w:name="_GoBack"/>
      <w:bookmarkEnd w:id="1"/>
      <w:r w:rsidRPr="00180AB9">
        <w:rPr>
          <w:bCs/>
          <w:iCs w:val="0"/>
        </w:rPr>
        <w:t>Diagrama</w:t>
      </w:r>
      <w:r w:rsidR="0045270B">
        <w:rPr>
          <w:bCs/>
          <w:iCs w:val="0"/>
        </w:rPr>
        <w:t>s</w:t>
      </w:r>
      <w:r w:rsidRPr="00180AB9">
        <w:rPr>
          <w:bCs/>
          <w:iCs w:val="0"/>
        </w:rPr>
        <w:t xml:space="preserve"> de Arquitectura </w:t>
      </w:r>
    </w:p>
    <w:p w:rsidR="00821BB2" w:rsidRDefault="00652F3F">
      <w:r>
        <w:rPr>
          <w:noProof/>
        </w:rPr>
        <w:drawing>
          <wp:inline distT="0" distB="0" distL="0" distR="0">
            <wp:extent cx="5400040" cy="310959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70B" w:rsidRDefault="0045270B">
      <w:r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180D53A5" wp14:editId="524EB22A">
            <wp:extent cx="5400040" cy="35096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DC1" w:rsidRDefault="00CA3DC1">
      <w:r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4DE4B2EC" wp14:editId="59B0F2E1">
            <wp:extent cx="4745990" cy="577469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990" cy="577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74" w:rsidRDefault="00E55174"/>
    <w:p w:rsidR="003C5863" w:rsidRDefault="003C5863"/>
    <w:p w:rsidR="00821BB2" w:rsidRDefault="00821BB2"/>
    <w:p w:rsidR="00821BB2" w:rsidRDefault="00821BB2"/>
    <w:sectPr w:rsidR="00821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C5EE0"/>
    <w:multiLevelType w:val="multilevel"/>
    <w:tmpl w:val="B9020AB2"/>
    <w:lvl w:ilvl="0">
      <w:start w:val="1"/>
      <w:numFmt w:val="decimal"/>
      <w:pStyle w:val="Ejie-Titu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Ejie-titulo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Ejie-titulo3"/>
      <w:lvlText w:val="%1.%2.%3."/>
      <w:lvlJc w:val="left"/>
      <w:pPr>
        <w:tabs>
          <w:tab w:val="num" w:pos="1610"/>
        </w:tabs>
        <w:ind w:left="1394" w:hanging="504"/>
      </w:pPr>
      <w:rPr>
        <w:rFonts w:ascii="Arial" w:hAnsi="Arial" w:hint="default"/>
        <w:b/>
        <w:i w:val="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70"/>
        </w:tabs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90"/>
        </w:tabs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0"/>
        </w:tabs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0"/>
        </w:tabs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0"/>
        </w:tabs>
        <w:ind w:left="4490" w:hanging="1440"/>
      </w:pPr>
      <w:rPr>
        <w:rFonts w:hint="default"/>
      </w:rPr>
    </w:lvl>
  </w:abstractNum>
  <w:abstractNum w:abstractNumId="1" w15:restartNumberingAfterBreak="0">
    <w:nsid w:val="739C7CD0"/>
    <w:multiLevelType w:val="hybridMultilevel"/>
    <w:tmpl w:val="94143D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63"/>
    <w:rsid w:val="00001772"/>
    <w:rsid w:val="00032ABD"/>
    <w:rsid w:val="00180AB9"/>
    <w:rsid w:val="00295B6E"/>
    <w:rsid w:val="002A4CB6"/>
    <w:rsid w:val="002E45B3"/>
    <w:rsid w:val="003C5863"/>
    <w:rsid w:val="0045270B"/>
    <w:rsid w:val="005C0702"/>
    <w:rsid w:val="00625A01"/>
    <w:rsid w:val="00652F3F"/>
    <w:rsid w:val="007275A6"/>
    <w:rsid w:val="00821BB2"/>
    <w:rsid w:val="00956AF2"/>
    <w:rsid w:val="00AE442C"/>
    <w:rsid w:val="00BE5E02"/>
    <w:rsid w:val="00C54DF7"/>
    <w:rsid w:val="00CA3DC1"/>
    <w:rsid w:val="00DF6A76"/>
    <w:rsid w:val="00E55174"/>
    <w:rsid w:val="00ED78FA"/>
    <w:rsid w:val="00F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D758"/>
  <w15:chartTrackingRefBased/>
  <w15:docId w15:val="{95CF8544-FCBF-406F-981C-4F050C13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E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E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jie-Titulo1">
    <w:name w:val="Ejie-Titulo1"/>
    <w:basedOn w:val="Ttulo1"/>
    <w:rsid w:val="00BE5E02"/>
    <w:pPr>
      <w:keepLines w:val="0"/>
      <w:numPr>
        <w:numId w:val="1"/>
      </w:numPr>
      <w:pBdr>
        <w:top w:val="single" w:sz="12" w:space="5" w:color="C7ECEC"/>
        <w:left w:val="single" w:sz="12" w:space="4" w:color="C7ECEC"/>
        <w:bottom w:val="single" w:sz="12" w:space="5" w:color="C7ECEC"/>
        <w:right w:val="single" w:sz="12" w:space="4" w:color="C7ECEC"/>
      </w:pBdr>
      <w:shd w:val="clear" w:color="auto" w:fill="C7ECEC"/>
      <w:tabs>
        <w:tab w:val="clear" w:pos="567"/>
        <w:tab w:val="num" w:pos="360"/>
        <w:tab w:val="num" w:pos="720"/>
      </w:tabs>
      <w:spacing w:before="120" w:after="120" w:line="240" w:lineRule="auto"/>
      <w:ind w:left="720" w:hanging="360"/>
    </w:pPr>
    <w:rPr>
      <w:rFonts w:ascii="Arial" w:eastAsia="Arial Unicode MS" w:hAnsi="Arial" w:cs="Arial"/>
      <w:b/>
      <w:color w:val="auto"/>
      <w:kern w:val="32"/>
      <w:sz w:val="24"/>
      <w:lang w:eastAsia="es-ES_tradnl"/>
    </w:rPr>
  </w:style>
  <w:style w:type="paragraph" w:customStyle="1" w:styleId="Ejie-titulo2">
    <w:name w:val="Ejie-titulo2"/>
    <w:basedOn w:val="Ttulo2"/>
    <w:rsid w:val="00BE5E02"/>
    <w:pPr>
      <w:keepLines w:val="0"/>
      <w:numPr>
        <w:ilvl w:val="1"/>
        <w:numId w:val="1"/>
      </w:numPr>
      <w:pBdr>
        <w:top w:val="single" w:sz="12" w:space="5" w:color="EAEAEA"/>
        <w:left w:val="single" w:sz="12" w:space="4" w:color="EAEAEA"/>
        <w:bottom w:val="single" w:sz="12" w:space="5" w:color="EAEAEA"/>
        <w:right w:val="single" w:sz="12" w:space="4" w:color="EAEAEA"/>
      </w:pBdr>
      <w:shd w:val="clear" w:color="auto" w:fill="E6E6E6"/>
      <w:tabs>
        <w:tab w:val="num" w:pos="1440"/>
      </w:tabs>
      <w:spacing w:before="120" w:after="120" w:line="240" w:lineRule="auto"/>
    </w:pPr>
    <w:rPr>
      <w:rFonts w:ascii="Arial" w:eastAsia="Times New Roman" w:hAnsi="Arial" w:cs="Arial"/>
      <w:b/>
      <w:iCs/>
      <w:color w:val="auto"/>
      <w:sz w:val="20"/>
      <w:szCs w:val="28"/>
      <w:lang w:eastAsia="es-ES_tradnl"/>
    </w:rPr>
  </w:style>
  <w:style w:type="paragraph" w:customStyle="1" w:styleId="Ejie-titulo3">
    <w:name w:val="Ejie-titulo3"/>
    <w:basedOn w:val="Ttulo3"/>
    <w:rsid w:val="00BE5E02"/>
    <w:pPr>
      <w:keepLines w:val="0"/>
      <w:numPr>
        <w:ilvl w:val="2"/>
        <w:numId w:val="1"/>
      </w:numPr>
      <w:pBdr>
        <w:top w:val="single" w:sz="4" w:space="5" w:color="EAEAEA"/>
        <w:left w:val="single" w:sz="4" w:space="4" w:color="EAEAEA"/>
        <w:bottom w:val="single" w:sz="4" w:space="5" w:color="EAEAEA"/>
        <w:right w:val="single" w:sz="4" w:space="4" w:color="EAEAEA"/>
      </w:pBdr>
      <w:shd w:val="clear" w:color="auto" w:fill="EAEAEA"/>
      <w:tabs>
        <w:tab w:val="clear" w:pos="1610"/>
        <w:tab w:val="num" w:pos="360"/>
        <w:tab w:val="num" w:pos="2160"/>
      </w:tabs>
      <w:spacing w:before="120" w:after="120" w:line="240" w:lineRule="auto"/>
      <w:ind w:left="1361" w:hanging="567"/>
    </w:pPr>
    <w:rPr>
      <w:rFonts w:ascii="Arial" w:eastAsia="Times New Roman" w:hAnsi="Arial" w:cs="Arial"/>
      <w:b/>
      <w:bCs/>
      <w:color w:val="auto"/>
      <w:sz w:val="20"/>
      <w:szCs w:val="20"/>
      <w:lang w:eastAsia="es-ES_tradnl"/>
    </w:rPr>
  </w:style>
  <w:style w:type="paragraph" w:customStyle="1" w:styleId="Normal11pt">
    <w:name w:val="Normal + 11 pt"/>
    <w:aliases w:val="Justificado JR"/>
    <w:basedOn w:val="Normal"/>
    <w:link w:val="Normal11ptCar"/>
    <w:rsid w:val="00BE5E02"/>
    <w:pPr>
      <w:spacing w:after="0" w:line="240" w:lineRule="auto"/>
      <w:jc w:val="both"/>
    </w:pPr>
    <w:rPr>
      <w:rFonts w:ascii="Arial" w:eastAsia="Times New Roman" w:hAnsi="Arial" w:cs="Times New Roman"/>
      <w:lang w:eastAsia="es-ES_tradnl"/>
    </w:rPr>
  </w:style>
  <w:style w:type="character" w:customStyle="1" w:styleId="Normal11ptCar">
    <w:name w:val="Normal + 11 pt Car"/>
    <w:aliases w:val="Justificado JR Car"/>
    <w:basedOn w:val="Fuentedeprrafopredeter"/>
    <w:link w:val="Normal11pt"/>
    <w:rsid w:val="00BE5E02"/>
    <w:rPr>
      <w:rFonts w:ascii="Arial" w:eastAsia="Times New Roman" w:hAnsi="Arial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E5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E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E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4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Muñoz Sanchez, Ion</dc:creator>
  <cp:keywords/>
  <dc:description/>
  <cp:lastModifiedBy>Muñoz Sanchez, Ion</cp:lastModifiedBy>
  <cp:revision>9</cp:revision>
  <dcterms:created xsi:type="dcterms:W3CDTF">2018-05-24T15:37:00Z</dcterms:created>
  <dcterms:modified xsi:type="dcterms:W3CDTF">2018-05-25T07:07:00Z</dcterms:modified>
</cp:coreProperties>
</file>